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C" w:rsidRDefault="00FE40C0" w:rsidP="00CE229C">
      <w:pPr>
        <w:spacing w:after="0" w:line="240" w:lineRule="auto"/>
        <w:jc w:val="center"/>
        <w:rPr>
          <w:rFonts w:ascii="Times New Roman" w:hAnsi="Times New Roman" w:cs="Times New Roman"/>
          <w:b/>
          <w:sz w:val="24"/>
          <w:szCs w:val="24"/>
        </w:rPr>
      </w:pPr>
      <w:r w:rsidRPr="00CE229C">
        <w:rPr>
          <w:rFonts w:ascii="Times New Roman" w:hAnsi="Times New Roman" w:cs="Times New Roman"/>
          <w:b/>
          <w:sz w:val="24"/>
          <w:szCs w:val="24"/>
        </w:rPr>
        <w:t>«Соборное Уложение» и смена концепции самодержавной власти</w:t>
      </w:r>
    </w:p>
    <w:p w:rsidR="00CE229C" w:rsidRPr="00CE229C" w:rsidRDefault="00CE229C" w:rsidP="00CE229C">
      <w:pPr>
        <w:spacing w:after="0" w:line="240" w:lineRule="auto"/>
        <w:jc w:val="center"/>
        <w:rPr>
          <w:rFonts w:ascii="Times New Roman" w:hAnsi="Times New Roman" w:cs="Times New Roman"/>
          <w:b/>
          <w:sz w:val="24"/>
          <w:szCs w:val="24"/>
        </w:rPr>
      </w:pPr>
    </w:p>
    <w:p w:rsidR="00CE229C" w:rsidRPr="00CE229C" w:rsidRDefault="00CE229C" w:rsidP="00CE229C">
      <w:pPr>
        <w:spacing w:after="0" w:line="240" w:lineRule="auto"/>
        <w:jc w:val="center"/>
        <w:outlineLvl w:val="1"/>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Причины принятия Соборного уложения 1649 года</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В период между 1550 и 1648 годами было издано около 800 указов, законов и других нормативно-правовых актов. Особенно много их вышло во время Смуты. Работа с ними требовала не только больших знаний, но и много времени на обработку. Кроме того, были случая, когда некоторые положения одного указа могли входить в противоречие с другими, что приносило большой ущерб системе законодательства Российского царства. Эти проблемы заставляли задумываться о проведении кодификации существующих законов, то есть их обработке и составлению из них единого и целостного свода законов. В 1648 году в Москве состоялся Соляной бунт, одним из требований восставших был призыв к созыву Земского Собора для создания согласованного и единого закона.</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Еще одной причиной, подталкивающей Алексея Михайловича к созданию Соборного Уложения 1649 года, была тенденция государства к абсолютной монархии, которая требовала четкого закрепления в законах. Царь из молодой династии Романовых фактически сосредоточил всю власть в своих руках, ограничив влияние Земского Собора, однако, новая политическая система требовала закрепления в законах. Также новые сословные отношения, а особенно статус дворянства и крестьянства (тенденции к формированию крепостного права) также нуждался в юридическом пересмотре.  Весь этот набор причин привел к тому, что в конце 1648 года Алексей Михайлович созвал Земский Собор, дав ему задание сформировать единый свод законов, который вошел в историю как Соборное Уложение.</w:t>
      </w:r>
    </w:p>
    <w:p w:rsidR="00CE229C" w:rsidRPr="00CE229C" w:rsidRDefault="00CE229C" w:rsidP="00CE229C">
      <w:pPr>
        <w:spacing w:after="0" w:line="240" w:lineRule="auto"/>
        <w:jc w:val="center"/>
        <w:outlineLvl w:val="1"/>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Источники Уложения и работа по его созданию</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Для создания свода законов была создана специальная комиссия, состоящая из приближенных к царю, которую возглавил князь Никита Одоевский. Кроме него в комиссию вошли герой Смоленской войны князь Федор Волконский, а также дьяк Федор Грибоедов. В работе комиссии принимал участие лично царь Алексей. Основой для написания Соборного уложения 1649 года, если кратко, послужили соедующие правовые источники:</w:t>
      </w:r>
    </w:p>
    <w:p w:rsidR="00CE229C" w:rsidRPr="00CE229C" w:rsidRDefault="00CE229C" w:rsidP="00CE229C">
      <w:pPr>
        <w:numPr>
          <w:ilvl w:val="0"/>
          <w:numId w:val="1"/>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Судебники 1497 и 1550 годов. Основа российской правовой системы 16 столетия.</w:t>
      </w:r>
    </w:p>
    <w:p w:rsidR="00CE229C" w:rsidRPr="00CE229C" w:rsidRDefault="00CE229C" w:rsidP="00CE229C">
      <w:pPr>
        <w:numPr>
          <w:ilvl w:val="0"/>
          <w:numId w:val="1"/>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Указные книги приказов, где были собраны основные законы и распоряжения, выходившие в конце 16 – первой половине 17 веков.</w:t>
      </w:r>
    </w:p>
    <w:p w:rsidR="00CE229C" w:rsidRPr="00CE229C" w:rsidRDefault="00CE229C" w:rsidP="00CE229C">
      <w:pPr>
        <w:numPr>
          <w:ilvl w:val="0"/>
          <w:numId w:val="1"/>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Литовский статут 1588. Основной закон Речи Посполитой этого периода послужил образцом юридической техники. Отсюда были взяты правовые формулировки, фразы, рубрики, а также идеи о положении крестьянства.</w:t>
      </w:r>
    </w:p>
    <w:p w:rsidR="00CE229C" w:rsidRPr="00CE229C" w:rsidRDefault="00CE229C" w:rsidP="00CE229C">
      <w:pPr>
        <w:numPr>
          <w:ilvl w:val="0"/>
          <w:numId w:val="1"/>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Челобитные, поступавшие на рассмотрение в государственные органы от боярства. В них были указаны основные просьбы и пожелания относительно существующей правовой системы. Также во время работы комиссии ее участникам посылали челобитные из различных регионов страны.</w:t>
      </w:r>
    </w:p>
    <w:p w:rsidR="00CE229C" w:rsidRPr="00CE229C" w:rsidRDefault="00CE229C" w:rsidP="00CE229C">
      <w:pPr>
        <w:numPr>
          <w:ilvl w:val="0"/>
          <w:numId w:val="1"/>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Кормчая книга (Номоканон). Это сборники законов, которые касались церковного дела. Эта традиция пришла из Византии. Кормчую книгу используют при управлении церковью, а также при организации церковных судов. </w:t>
      </w:r>
    </w:p>
    <w:p w:rsidR="00CE229C" w:rsidRPr="00CE229C" w:rsidRDefault="00CE229C" w:rsidP="00CE229C">
      <w:pPr>
        <w:spacing w:after="0" w:line="240" w:lineRule="auto"/>
        <w:jc w:val="center"/>
        <w:outlineLvl w:val="1"/>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Характеристика Уложений по отраслям</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В 1649 году Соборное Уложение было полностью закончено. Интересно то, что это был не только первый сборник законов России, сформированный по рубрикам, которые определялись областями права. Это был первый свод законов России, который был в печатной форме. Всего Соборное Уложение состояло из 25 глав, в которых было 967 статей. Историки российского права выделяют следующие правовые отрасли, которые были раскрыты в Соборном уложении 1649 года:</w:t>
      </w:r>
    </w:p>
    <w:p w:rsidR="00CE229C" w:rsidRPr="00CE229C" w:rsidRDefault="00CE229C" w:rsidP="00CE229C">
      <w:pPr>
        <w:spacing w:after="0" w:line="240" w:lineRule="auto"/>
        <w:jc w:val="center"/>
        <w:outlineLvl w:val="2"/>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Государственное право</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lastRenderedPageBreak/>
        <w:t>Закон полностью определял правовой статус монарха в России, а также механизмы наследования власти. Статьи из этой отрасли права снимали вопросы, с точки зрения законности прсутствия династии Романовых на престоле. Кроме того, эти статьи закрепляли процесс становления абсолютной монархии в России.</w:t>
      </w:r>
    </w:p>
    <w:p w:rsidR="00CE229C" w:rsidRPr="00CE229C" w:rsidRDefault="00CE229C" w:rsidP="00CE229C">
      <w:pPr>
        <w:spacing w:after="0" w:line="240" w:lineRule="auto"/>
        <w:jc w:val="center"/>
        <w:outlineLvl w:val="2"/>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Уголовное право</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Во-первых, тут были классифицированы виды преступлений. Во-вторых – описаны все возможные виды наказания. Были выделены следующие виды преступлений:</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Преступления против государства. Этот вид преступления впервые появился в правовой системе России. Преступлением против государства считались оскорбления и другие противоправные действия против монарха, его семьи, а также заговор и измена. Кстати, в случаях, если родственники преступника, знали о преступлении против российского государства, то они несли такую же ответственность.</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Преступления против государственного управления. К этой категории относились: подделка монет, самовольное пересечение государственной границы, дача ложных свидетельств и обвинений (записано в законе термином «ябедничество»).</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 xml:space="preserve">Преступления против «благочиния». Под этими преступлениями имелось </w:t>
      </w:r>
      <w:proofErr w:type="gramStart"/>
      <w:r w:rsidRPr="00CE229C">
        <w:rPr>
          <w:rFonts w:ascii="Times New Roman" w:eastAsia="Times New Roman" w:hAnsi="Times New Roman" w:cs="Times New Roman"/>
          <w:sz w:val="24"/>
          <w:szCs w:val="24"/>
          <w:lang w:eastAsia="ru-RU"/>
        </w:rPr>
        <w:t>ввиду</w:t>
      </w:r>
      <w:proofErr w:type="gramEnd"/>
      <w:r w:rsidRPr="00CE229C">
        <w:rPr>
          <w:rFonts w:ascii="Times New Roman" w:eastAsia="Times New Roman" w:hAnsi="Times New Roman" w:cs="Times New Roman"/>
          <w:sz w:val="24"/>
          <w:szCs w:val="24"/>
          <w:lang w:eastAsia="ru-RU"/>
        </w:rPr>
        <w:t xml:space="preserve"> </w:t>
      </w:r>
      <w:proofErr w:type="gramStart"/>
      <w:r w:rsidRPr="00CE229C">
        <w:rPr>
          <w:rFonts w:ascii="Times New Roman" w:eastAsia="Times New Roman" w:hAnsi="Times New Roman" w:cs="Times New Roman"/>
          <w:sz w:val="24"/>
          <w:szCs w:val="24"/>
          <w:lang w:eastAsia="ru-RU"/>
        </w:rPr>
        <w:t>укрывание</w:t>
      </w:r>
      <w:proofErr w:type="gramEnd"/>
      <w:r w:rsidRPr="00CE229C">
        <w:rPr>
          <w:rFonts w:ascii="Times New Roman" w:eastAsia="Times New Roman" w:hAnsi="Times New Roman" w:cs="Times New Roman"/>
          <w:sz w:val="24"/>
          <w:szCs w:val="24"/>
          <w:lang w:eastAsia="ru-RU"/>
        </w:rPr>
        <w:t xml:space="preserve"> беглых людей и преступников, продаж краденого и содержание притонов.</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Должностные преступления: взяточничество, расточительство государственных денег, неправосудие, а также военные преступление (в первую очередь мародерство).</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Преступления против Церкви. Сюда относили богохульство, переход в другую веру, прерывание церковной службы и т.д.</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Преступления против личности: убийство, нанесение увечий, побоев, оскорбление. Кстати, убийство вора на месте преступления не считалось нарушением закона.</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Имущественные преступления: кража, грабеж, мошенничество, конокрадство и прочее.</w:t>
      </w:r>
    </w:p>
    <w:p w:rsidR="00CE229C" w:rsidRPr="00CE229C" w:rsidRDefault="00CE229C" w:rsidP="00CE229C">
      <w:pPr>
        <w:numPr>
          <w:ilvl w:val="0"/>
          <w:numId w:val="2"/>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Преступления против нравственности. В этой категории была измена жены мужу, «блуд» с рабыней, неуважение к родителям.</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Что касается наказаний за преступления, то Соборное Уложение 1649 года выделяло несколько основных видов:</w:t>
      </w:r>
    </w:p>
    <w:p w:rsidR="00CE229C" w:rsidRPr="00CE229C" w:rsidRDefault="00CE229C" w:rsidP="00CE229C">
      <w:pPr>
        <w:numPr>
          <w:ilvl w:val="0"/>
          <w:numId w:val="3"/>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Смертная казнь через повешение, четвертование, отсечение головы, сожжение. За фальшивомонетничество преступнику вливали расплавленное железо в горло.</w:t>
      </w:r>
    </w:p>
    <w:p w:rsidR="00CE229C" w:rsidRPr="00CE229C" w:rsidRDefault="00CE229C" w:rsidP="00CE229C">
      <w:pPr>
        <w:numPr>
          <w:ilvl w:val="0"/>
          <w:numId w:val="3"/>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Телесные наказания, например клеймение или битье батогами.</w:t>
      </w:r>
    </w:p>
    <w:p w:rsidR="00CE229C" w:rsidRPr="00CE229C" w:rsidRDefault="00CE229C" w:rsidP="00CE229C">
      <w:pPr>
        <w:numPr>
          <w:ilvl w:val="0"/>
          <w:numId w:val="3"/>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Теремное заключение. Срок был от трех дней до пожизненного лишения свободы. Кстати, тюремных сидельцев должны были содержать родственники заключенных.</w:t>
      </w:r>
    </w:p>
    <w:p w:rsidR="00CE229C" w:rsidRPr="00CE229C" w:rsidRDefault="00CE229C" w:rsidP="00CE229C">
      <w:pPr>
        <w:numPr>
          <w:ilvl w:val="0"/>
          <w:numId w:val="3"/>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Ссылка. Изначально использовалась для высших лиц, которые попали в немилость («опалу») к царю.</w:t>
      </w:r>
    </w:p>
    <w:p w:rsidR="00CE229C" w:rsidRPr="00CE229C" w:rsidRDefault="00CE229C" w:rsidP="00CE229C">
      <w:pPr>
        <w:numPr>
          <w:ilvl w:val="0"/>
          <w:numId w:val="3"/>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Бесчестящие наказания. Также применялись к высшим сословиям, заключалось в лишении прав и привилегий через понижение в чине.</w:t>
      </w:r>
    </w:p>
    <w:p w:rsidR="00CE229C" w:rsidRPr="00CE229C" w:rsidRDefault="00CE229C" w:rsidP="00CE229C">
      <w:pPr>
        <w:numPr>
          <w:ilvl w:val="0"/>
          <w:numId w:val="3"/>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Штрафы и конфискации имущества.</w:t>
      </w:r>
    </w:p>
    <w:p w:rsidR="00CE229C" w:rsidRPr="00CE229C" w:rsidRDefault="00CE229C" w:rsidP="00CE229C">
      <w:pPr>
        <w:spacing w:after="0" w:line="240" w:lineRule="auto"/>
        <w:jc w:val="center"/>
        <w:outlineLvl w:val="2"/>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Гражданское право</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 xml:space="preserve">Впервые в истории России осуществлялись попытки описания института частной собственности, а также выделения дееспособности подданных. Так, юноша 15 лет мог наделяться поместьем. Также были описаны виды договоров на передачу прав собственности: устный и письменный.  Соборное уложение определяло понятие «приобретательная давность» - право получить в частную собственность вещь, после </w:t>
      </w:r>
      <w:r w:rsidRPr="00CE229C">
        <w:rPr>
          <w:rFonts w:ascii="Times New Roman" w:eastAsia="Times New Roman" w:hAnsi="Times New Roman" w:cs="Times New Roman"/>
          <w:sz w:val="24"/>
          <w:szCs w:val="24"/>
          <w:lang w:eastAsia="ru-RU"/>
        </w:rPr>
        <w:lastRenderedPageBreak/>
        <w:t>пользование ей определенное время. В 1649 году этот срок составлял 40 лет. Основой же гражданской отрасли нового свода законов являлось закрепление сословного характера российского общества. Были регламентированы все сословия России, дворянство ставало главной опорой абсолютной монархии.</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Кроме того, Соборное уложение 1649 года кратко, но окончательно завершило закрепощение крестьян: помещик имел право спустя любой срок после побега искать беглых крестьян. Таким образом, крестьяне окончательно «прикреплялись» к земле, становясь собственностью помещика.</w:t>
      </w:r>
    </w:p>
    <w:p w:rsidR="00CE229C" w:rsidRPr="00CE229C" w:rsidRDefault="00CE229C" w:rsidP="00CE229C">
      <w:pPr>
        <w:spacing w:after="0" w:line="240" w:lineRule="auto"/>
        <w:jc w:val="center"/>
        <w:outlineLvl w:val="2"/>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Семейное право</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 xml:space="preserve">Соборное уложение не касалось напрямую семейного право, поскольку оно было в компетенции церковного суда. Однако отдельные статьи свода законов касались семейной жизни, описывая </w:t>
      </w:r>
      <w:proofErr w:type="gramStart"/>
      <w:r w:rsidRPr="00CE229C">
        <w:rPr>
          <w:rFonts w:ascii="Times New Roman" w:eastAsia="Times New Roman" w:hAnsi="Times New Roman" w:cs="Times New Roman"/>
          <w:sz w:val="24"/>
          <w:szCs w:val="24"/>
          <w:lang w:eastAsia="ru-RU"/>
        </w:rPr>
        <w:t>основные принципы</w:t>
      </w:r>
      <w:proofErr w:type="gramEnd"/>
      <w:r w:rsidRPr="00CE229C">
        <w:rPr>
          <w:rFonts w:ascii="Times New Roman" w:eastAsia="Times New Roman" w:hAnsi="Times New Roman" w:cs="Times New Roman"/>
          <w:sz w:val="24"/>
          <w:szCs w:val="24"/>
          <w:lang w:eastAsia="ru-RU"/>
        </w:rPr>
        <w:t xml:space="preserve"> семейных отношений. Так, родители имели большую власть над детьми, например если дочь убила кого-то из родителей, то ее казнили, а если родитель убивал ребенка, то он получал год тюрьмы. Родители имели право бить детей, а им запрещено было жаловаться на родителей.</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Что касается супружеских пар, то муж имел фактическое право собственности над своей женой. Брачный возраст для мужчины был 15 лет, а для женщины – 12. Развод был жестко регламентирован, допускался лишь в отдельных случаях (уход в монастырь, неспособность жены родить детей и т.д.).</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Кроме вышеуказанных положений, Соборное уложение касалось процессуальной составляющей права. Так, были закреплены следующие процедуры, целью которых было получение доказательств:</w:t>
      </w:r>
    </w:p>
    <w:p w:rsidR="00CE229C" w:rsidRPr="00CE229C" w:rsidRDefault="00CE229C" w:rsidP="00CE229C">
      <w:pPr>
        <w:numPr>
          <w:ilvl w:val="0"/>
          <w:numId w:val="4"/>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«Обыск». Осмотр вещей, а также общение с возможными свидетелями.</w:t>
      </w:r>
    </w:p>
    <w:p w:rsidR="00CE229C" w:rsidRPr="00CE229C" w:rsidRDefault="00CE229C" w:rsidP="00CE229C">
      <w:pPr>
        <w:numPr>
          <w:ilvl w:val="0"/>
          <w:numId w:val="4"/>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«Правеж». Порка розгами неплатежеспособного должника в течение определенного времени, в обмен на штраф.  Если у должника находились деньги раньше окончания срока «правежа», то битье прекращалось.</w:t>
      </w:r>
    </w:p>
    <w:p w:rsidR="00CE229C" w:rsidRPr="00CE229C" w:rsidRDefault="00CE229C" w:rsidP="00CE229C">
      <w:pPr>
        <w:numPr>
          <w:ilvl w:val="0"/>
          <w:numId w:val="4"/>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«Розыск». Применение различных сре</w:t>
      </w:r>
      <w:proofErr w:type="gramStart"/>
      <w:r w:rsidRPr="00CE229C">
        <w:rPr>
          <w:rFonts w:ascii="Times New Roman" w:eastAsia="Times New Roman" w:hAnsi="Times New Roman" w:cs="Times New Roman"/>
          <w:sz w:val="24"/>
          <w:szCs w:val="24"/>
          <w:lang w:eastAsia="ru-RU"/>
        </w:rPr>
        <w:t>дств дл</w:t>
      </w:r>
      <w:proofErr w:type="gramEnd"/>
      <w:r w:rsidRPr="00CE229C">
        <w:rPr>
          <w:rFonts w:ascii="Times New Roman" w:eastAsia="Times New Roman" w:hAnsi="Times New Roman" w:cs="Times New Roman"/>
          <w:sz w:val="24"/>
          <w:szCs w:val="24"/>
          <w:lang w:eastAsia="ru-RU"/>
        </w:rPr>
        <w:t xml:space="preserve">я поиска преступника, а также для проведения допросов для получения нужной информации. В Уложении было описано право </w:t>
      </w:r>
      <w:proofErr w:type="gramStart"/>
      <w:r w:rsidRPr="00CE229C">
        <w:rPr>
          <w:rFonts w:ascii="Times New Roman" w:eastAsia="Times New Roman" w:hAnsi="Times New Roman" w:cs="Times New Roman"/>
          <w:sz w:val="24"/>
          <w:szCs w:val="24"/>
          <w:lang w:eastAsia="ru-RU"/>
        </w:rPr>
        <w:t>использовать</w:t>
      </w:r>
      <w:proofErr w:type="gramEnd"/>
      <w:r w:rsidRPr="00CE229C">
        <w:rPr>
          <w:rFonts w:ascii="Times New Roman" w:eastAsia="Times New Roman" w:hAnsi="Times New Roman" w:cs="Times New Roman"/>
          <w:sz w:val="24"/>
          <w:szCs w:val="24"/>
          <w:lang w:eastAsia="ru-RU"/>
        </w:rPr>
        <w:t xml:space="preserve"> пытки (не больше двух трех раз, используя перерывы).</w:t>
      </w:r>
    </w:p>
    <w:p w:rsidR="00CE229C" w:rsidRPr="00CE229C" w:rsidRDefault="00CE229C" w:rsidP="00CE229C">
      <w:pPr>
        <w:spacing w:after="0" w:line="240" w:lineRule="auto"/>
        <w:jc w:val="center"/>
        <w:outlineLvl w:val="1"/>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 xml:space="preserve">Дополнения к закону в </w:t>
      </w:r>
      <w:r w:rsidRPr="00CE229C">
        <w:rPr>
          <w:rFonts w:ascii="Times New Roman" w:eastAsia="Times New Roman" w:hAnsi="Times New Roman" w:cs="Times New Roman"/>
          <w:b/>
          <w:sz w:val="24"/>
          <w:szCs w:val="24"/>
          <w:lang w:eastAsia="ru-RU"/>
        </w:rPr>
        <w:t>XVII</w:t>
      </w:r>
      <w:r w:rsidRPr="00CE229C">
        <w:rPr>
          <w:rFonts w:ascii="Times New Roman" w:eastAsia="Times New Roman" w:hAnsi="Times New Roman" w:cs="Times New Roman"/>
          <w:b/>
          <w:bCs/>
          <w:sz w:val="24"/>
          <w:szCs w:val="24"/>
          <w:lang w:eastAsia="ru-RU"/>
        </w:rPr>
        <w:t xml:space="preserve"> веке</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На протяжении второй половины 17 века были приняты дополнительные законы, которые вносили изменения или дополнения в Уложение. Например, в 1669 году был принят закон об увеличении наказаний для преступников. Он был связан увеличением преступности в России в этот период. В 1675-1677 были приняты дополнения о статусе вотчины. Это было связано с увеличением количества споров относительно права на землю.  В 1667 году был принят «Новоторговый устав», который был призван поддержать российского производителя в борьбе с иностранными товарами.</w:t>
      </w:r>
    </w:p>
    <w:p w:rsidR="00CE229C" w:rsidRPr="00CE229C" w:rsidRDefault="00CE229C" w:rsidP="00CE229C">
      <w:pPr>
        <w:spacing w:after="0" w:line="240" w:lineRule="auto"/>
        <w:jc w:val="center"/>
        <w:outlineLvl w:val="1"/>
        <w:rPr>
          <w:rFonts w:ascii="Times New Roman" w:eastAsia="Times New Roman" w:hAnsi="Times New Roman" w:cs="Times New Roman"/>
          <w:b/>
          <w:bCs/>
          <w:sz w:val="24"/>
          <w:szCs w:val="24"/>
          <w:lang w:eastAsia="ru-RU"/>
        </w:rPr>
      </w:pPr>
      <w:r w:rsidRPr="00CE229C">
        <w:rPr>
          <w:rFonts w:ascii="Times New Roman" w:eastAsia="Times New Roman" w:hAnsi="Times New Roman" w:cs="Times New Roman"/>
          <w:b/>
          <w:bCs/>
          <w:sz w:val="24"/>
          <w:szCs w:val="24"/>
          <w:lang w:eastAsia="ru-RU"/>
        </w:rPr>
        <w:t>Историческое значение</w:t>
      </w:r>
    </w:p>
    <w:p w:rsidR="00CE229C" w:rsidRPr="00CE229C" w:rsidRDefault="00CE229C" w:rsidP="00CE229C">
      <w:pPr>
        <w:spacing w:after="0" w:line="240" w:lineRule="auto"/>
        <w:ind w:firstLine="450"/>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Таким образом, Соборное уложение 1649 года имеет несколько значений в истории развития российского государства и права:</w:t>
      </w:r>
    </w:p>
    <w:p w:rsidR="00CE229C" w:rsidRPr="00CE229C" w:rsidRDefault="00CE229C" w:rsidP="00CE229C">
      <w:pPr>
        <w:numPr>
          <w:ilvl w:val="0"/>
          <w:numId w:val="5"/>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Это был первый свод законов, который был отпечатан типографическим способом.</w:t>
      </w:r>
    </w:p>
    <w:p w:rsidR="00CE229C" w:rsidRPr="00CE229C" w:rsidRDefault="00CE229C" w:rsidP="00CE229C">
      <w:pPr>
        <w:numPr>
          <w:ilvl w:val="0"/>
          <w:numId w:val="5"/>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Соборное уложение ликвидировало большинство противоречий, которые существовали в законах конца XVI- первой половины XVII столетия. Вместе с тем, Уложение учитывало предыдущие достижения российской законодательной системы, а также передовой опыт соседних госуда</w:t>
      </w:r>
      <w:proofErr w:type="gramStart"/>
      <w:r w:rsidRPr="00CE229C">
        <w:rPr>
          <w:rFonts w:ascii="Times New Roman" w:eastAsia="Times New Roman" w:hAnsi="Times New Roman" w:cs="Times New Roman"/>
          <w:sz w:val="24"/>
          <w:szCs w:val="24"/>
          <w:lang w:eastAsia="ru-RU"/>
        </w:rPr>
        <w:t>рств в сф</w:t>
      </w:r>
      <w:proofErr w:type="gramEnd"/>
      <w:r w:rsidRPr="00CE229C">
        <w:rPr>
          <w:rFonts w:ascii="Times New Roman" w:eastAsia="Times New Roman" w:hAnsi="Times New Roman" w:cs="Times New Roman"/>
          <w:sz w:val="24"/>
          <w:szCs w:val="24"/>
          <w:lang w:eastAsia="ru-RU"/>
        </w:rPr>
        <w:t>ере законотворчества и кодификации.</w:t>
      </w:r>
    </w:p>
    <w:p w:rsidR="00CE229C" w:rsidRPr="00CE229C" w:rsidRDefault="00CE229C" w:rsidP="00CE229C">
      <w:pPr>
        <w:numPr>
          <w:ilvl w:val="0"/>
          <w:numId w:val="5"/>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Сформировала основные черты будущей абсолютной монархии, опорой которой становилось дворянство.</w:t>
      </w:r>
    </w:p>
    <w:p w:rsidR="00151175" w:rsidRPr="007D3D99" w:rsidRDefault="00CE229C" w:rsidP="00151175">
      <w:pPr>
        <w:numPr>
          <w:ilvl w:val="0"/>
          <w:numId w:val="5"/>
        </w:numPr>
        <w:spacing w:after="0" w:line="240" w:lineRule="auto"/>
        <w:ind w:left="945" w:right="225"/>
        <w:rPr>
          <w:rFonts w:ascii="Times New Roman" w:eastAsia="Times New Roman" w:hAnsi="Times New Roman" w:cs="Times New Roman"/>
          <w:sz w:val="24"/>
          <w:szCs w:val="24"/>
          <w:lang w:eastAsia="ru-RU"/>
        </w:rPr>
      </w:pPr>
      <w:r w:rsidRPr="00CE229C">
        <w:rPr>
          <w:rFonts w:ascii="Times New Roman" w:eastAsia="Times New Roman" w:hAnsi="Times New Roman" w:cs="Times New Roman"/>
          <w:sz w:val="24"/>
          <w:szCs w:val="24"/>
          <w:lang w:eastAsia="ru-RU"/>
        </w:rPr>
        <w:t xml:space="preserve">Окончательно сформировало крепостное право в России. </w:t>
      </w:r>
    </w:p>
    <w:sectPr w:rsidR="00151175" w:rsidRPr="007D3D99" w:rsidSect="00243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8F0"/>
    <w:multiLevelType w:val="multilevel"/>
    <w:tmpl w:val="7B5E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21D49"/>
    <w:multiLevelType w:val="multilevel"/>
    <w:tmpl w:val="7184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9004B"/>
    <w:multiLevelType w:val="multilevel"/>
    <w:tmpl w:val="CAE0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EF4ACE"/>
    <w:multiLevelType w:val="multilevel"/>
    <w:tmpl w:val="FC6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40B0D"/>
    <w:multiLevelType w:val="multilevel"/>
    <w:tmpl w:val="3136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9E7C02"/>
    <w:multiLevelType w:val="hybridMultilevel"/>
    <w:tmpl w:val="408E0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0C0"/>
    <w:rsid w:val="000070D8"/>
    <w:rsid w:val="00151175"/>
    <w:rsid w:val="00243F0C"/>
    <w:rsid w:val="002E6401"/>
    <w:rsid w:val="004647EC"/>
    <w:rsid w:val="007D3D99"/>
    <w:rsid w:val="00CE229C"/>
    <w:rsid w:val="00DA63A4"/>
    <w:rsid w:val="00FE4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0C"/>
  </w:style>
  <w:style w:type="paragraph" w:styleId="2">
    <w:name w:val="heading 2"/>
    <w:basedOn w:val="a"/>
    <w:link w:val="20"/>
    <w:uiPriority w:val="9"/>
    <w:qFormat/>
    <w:rsid w:val="00CE22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22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E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229C"/>
    <w:rPr>
      <w:b/>
      <w:bCs/>
    </w:rPr>
  </w:style>
  <w:style w:type="character" w:styleId="a4">
    <w:name w:val="Emphasis"/>
    <w:basedOn w:val="a0"/>
    <w:uiPriority w:val="20"/>
    <w:qFormat/>
    <w:rsid w:val="00CE229C"/>
    <w:rPr>
      <w:i/>
      <w:iCs/>
    </w:rPr>
  </w:style>
  <w:style w:type="character" w:styleId="a5">
    <w:name w:val="Hyperlink"/>
    <w:basedOn w:val="a0"/>
    <w:uiPriority w:val="99"/>
    <w:semiHidden/>
    <w:unhideWhenUsed/>
    <w:rsid w:val="00CE229C"/>
    <w:rPr>
      <w:color w:val="0000FF"/>
      <w:u w:val="single"/>
    </w:rPr>
  </w:style>
  <w:style w:type="paragraph" w:styleId="a6">
    <w:name w:val="Balloon Text"/>
    <w:basedOn w:val="a"/>
    <w:link w:val="a7"/>
    <w:uiPriority w:val="99"/>
    <w:semiHidden/>
    <w:unhideWhenUsed/>
    <w:rsid w:val="00CE22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29C"/>
    <w:rPr>
      <w:rFonts w:ascii="Tahoma" w:hAnsi="Tahoma" w:cs="Tahoma"/>
      <w:sz w:val="16"/>
      <w:szCs w:val="16"/>
    </w:rPr>
  </w:style>
  <w:style w:type="character" w:customStyle="1" w:styleId="20">
    <w:name w:val="Заголовок 2 Знак"/>
    <w:basedOn w:val="a0"/>
    <w:link w:val="2"/>
    <w:uiPriority w:val="9"/>
    <w:rsid w:val="00CE22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229C"/>
    <w:rPr>
      <w:rFonts w:ascii="Times New Roman" w:eastAsia="Times New Roman" w:hAnsi="Times New Roman" w:cs="Times New Roman"/>
      <w:b/>
      <w:bCs/>
      <w:sz w:val="27"/>
      <w:szCs w:val="27"/>
      <w:lang w:eastAsia="ru-RU"/>
    </w:rPr>
  </w:style>
  <w:style w:type="paragraph" w:customStyle="1" w:styleId="osnov">
    <w:name w:val="osnov"/>
    <w:basedOn w:val="a"/>
    <w:rsid w:val="00CE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151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070D8"/>
    <w:pPr>
      <w:ind w:left="720"/>
      <w:contextualSpacing/>
    </w:pPr>
  </w:style>
</w:styles>
</file>

<file path=word/webSettings.xml><?xml version="1.0" encoding="utf-8"?>
<w:webSettings xmlns:r="http://schemas.openxmlformats.org/officeDocument/2006/relationships" xmlns:w="http://schemas.openxmlformats.org/wordprocessingml/2006/main">
  <w:divs>
    <w:div w:id="385028244">
      <w:bodyDiv w:val="1"/>
      <w:marLeft w:val="0"/>
      <w:marRight w:val="0"/>
      <w:marTop w:val="0"/>
      <w:marBottom w:val="0"/>
      <w:divBdr>
        <w:top w:val="none" w:sz="0" w:space="0" w:color="auto"/>
        <w:left w:val="none" w:sz="0" w:space="0" w:color="auto"/>
        <w:bottom w:val="none" w:sz="0" w:space="0" w:color="auto"/>
        <w:right w:val="none" w:sz="0" w:space="0" w:color="auto"/>
      </w:divBdr>
    </w:div>
    <w:div w:id="612976047">
      <w:bodyDiv w:val="1"/>
      <w:marLeft w:val="0"/>
      <w:marRight w:val="0"/>
      <w:marTop w:val="0"/>
      <w:marBottom w:val="0"/>
      <w:divBdr>
        <w:top w:val="none" w:sz="0" w:space="0" w:color="auto"/>
        <w:left w:val="none" w:sz="0" w:space="0" w:color="auto"/>
        <w:bottom w:val="none" w:sz="0" w:space="0" w:color="auto"/>
        <w:right w:val="none" w:sz="0" w:space="0" w:color="auto"/>
      </w:divBdr>
      <w:divsChild>
        <w:div w:id="1584757035">
          <w:marLeft w:val="0"/>
          <w:marRight w:val="0"/>
          <w:marTop w:val="0"/>
          <w:marBottom w:val="0"/>
          <w:divBdr>
            <w:top w:val="none" w:sz="0" w:space="0" w:color="auto"/>
            <w:left w:val="none" w:sz="0" w:space="0" w:color="auto"/>
            <w:bottom w:val="none" w:sz="0" w:space="0" w:color="auto"/>
            <w:right w:val="none" w:sz="0" w:space="0" w:color="auto"/>
          </w:divBdr>
        </w:div>
      </w:divsChild>
    </w:div>
    <w:div w:id="13491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8</cp:revision>
  <dcterms:created xsi:type="dcterms:W3CDTF">2020-03-31T12:48:00Z</dcterms:created>
  <dcterms:modified xsi:type="dcterms:W3CDTF">2020-03-31T13:24:00Z</dcterms:modified>
</cp:coreProperties>
</file>